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872C54" w:rsidRDefault="000A57B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2735C1" w:rsidRPr="00872C54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72C54">
        <w:rPr>
          <w:rFonts w:ascii="Arial" w:hAnsi="Arial" w:cs="Arial"/>
          <w:sz w:val="32"/>
          <w:szCs w:val="32"/>
          <w:lang w:val="ru-RU"/>
        </w:rPr>
        <w:t>ЩИГРОВСКОГО РАЙОНА КУРСКОЙ ОБЛАСТИ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872C54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872C54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0D25D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2022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872C54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проект</w:t>
      </w:r>
    </w:p>
    <w:p w:rsidR="002735C1" w:rsidRPr="00260854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260854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A57B1">
        <w:rPr>
          <w:b/>
          <w:bCs/>
          <w:sz w:val="32"/>
          <w:szCs w:val="32"/>
          <w:lang w:val="ru-RU" w:eastAsia="ru-RU"/>
        </w:rPr>
        <w:t>Титовского</w:t>
      </w:r>
      <w:proofErr w:type="spellEnd"/>
      <w:r w:rsidRPr="00260854">
        <w:rPr>
          <w:b/>
          <w:bCs/>
          <w:sz w:val="32"/>
          <w:szCs w:val="32"/>
          <w:lang w:val="ru-RU" w:eastAsia="ru-RU"/>
        </w:rPr>
        <w:t xml:space="preserve"> сельсовета</w:t>
      </w:r>
      <w:r w:rsidRPr="00260854">
        <w:rPr>
          <w:b/>
          <w:bCs/>
          <w:sz w:val="32"/>
          <w:szCs w:val="32"/>
          <w:lang w:eastAsia="ru-RU"/>
        </w:rPr>
        <w:t>  </w:t>
      </w:r>
      <w:r w:rsidR="00127683" w:rsidRPr="00260854">
        <w:rPr>
          <w:b/>
          <w:bCs/>
          <w:sz w:val="32"/>
          <w:szCs w:val="32"/>
          <w:lang w:val="ru-RU" w:eastAsia="ru-RU"/>
        </w:rPr>
        <w:t xml:space="preserve"> на 2023</w:t>
      </w:r>
      <w:r w:rsidR="00224FBC" w:rsidRPr="00260854">
        <w:rPr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60854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0A57B1">
        <w:rPr>
          <w:sz w:val="24"/>
          <w:szCs w:val="24"/>
          <w:lang w:val="ru-RU" w:eastAsia="ru-RU"/>
        </w:rPr>
        <w:t>Титовского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A57B1">
        <w:rPr>
          <w:sz w:val="24"/>
          <w:szCs w:val="24"/>
          <w:lang w:val="ru-RU" w:eastAsia="ru-RU"/>
        </w:rPr>
        <w:t>Титовского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</w:t>
      </w:r>
      <w:proofErr w:type="gramStart"/>
      <w:r w:rsidRPr="00260854">
        <w:rPr>
          <w:sz w:val="24"/>
          <w:szCs w:val="24"/>
          <w:lang w:val="ru-RU" w:eastAsia="ru-RU"/>
        </w:rPr>
        <w:t>Контроль за</w:t>
      </w:r>
      <w:proofErr w:type="gramEnd"/>
      <w:r w:rsidRPr="00260854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0A57B1">
        <w:rPr>
          <w:sz w:val="24"/>
          <w:szCs w:val="24"/>
          <w:lang w:val="ru-RU" w:eastAsia="ru-RU"/>
        </w:rPr>
        <w:t>Титовского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proofErr w:type="spellStart"/>
      <w:r w:rsidR="000A57B1">
        <w:rPr>
          <w:rFonts w:ascii="Times New Roman" w:hAnsi="Times New Roman" w:cs="Times New Roman"/>
          <w:bCs/>
        </w:rPr>
        <w:t>Титовского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                               </w:t>
      </w:r>
      <w:proofErr w:type="spellStart"/>
      <w:r w:rsidR="000A57B1">
        <w:rPr>
          <w:rFonts w:ascii="Times New Roman" w:hAnsi="Times New Roman" w:cs="Times New Roman"/>
          <w:bCs/>
        </w:rPr>
        <w:t>С.Г.Скулков</w:t>
      </w:r>
      <w:proofErr w:type="spellEnd"/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proofErr w:type="spellStart"/>
      <w:r w:rsidR="000A57B1">
        <w:rPr>
          <w:rFonts w:ascii="Times New Roman" w:hAnsi="Times New Roman" w:cs="Times New Roman"/>
          <w:bCs/>
        </w:rPr>
        <w:t>Титовского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От   № 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1843DB" w:rsidRPr="002608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2608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при осуществлении муниципального контроля </w:t>
      </w:r>
      <w:r w:rsidR="00BD7FED" w:rsidRPr="0026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260854">
        <w:rPr>
          <w:rFonts w:ascii="Times New Roman" w:hAnsi="Times New Roman" w:cs="Times New Roman"/>
          <w:b/>
          <w:sz w:val="32"/>
          <w:szCs w:val="32"/>
        </w:rPr>
        <w:t>на 202</w:t>
      </w:r>
      <w:r w:rsidR="00127683" w:rsidRPr="00260854">
        <w:rPr>
          <w:rFonts w:ascii="Times New Roman" w:hAnsi="Times New Roman" w:cs="Times New Roman"/>
          <w:b/>
          <w:sz w:val="32"/>
          <w:szCs w:val="32"/>
        </w:rPr>
        <w:t>3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 xml:space="preserve">Программа разработана в соответствии </w:t>
      </w:r>
      <w:proofErr w:type="gramStart"/>
      <w:r w:rsidR="003B126D" w:rsidRPr="005F517E">
        <w:t>с</w:t>
      </w:r>
      <w:proofErr w:type="gramEnd"/>
      <w:r w:rsidR="003B126D" w:rsidRPr="005F517E">
        <w:t>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0A57B1">
        <w:rPr>
          <w:b w:val="0"/>
          <w:sz w:val="24"/>
          <w:szCs w:val="24"/>
          <w:lang w:val="ru-RU"/>
        </w:rPr>
        <w:t>Титовского</w:t>
      </w:r>
      <w:proofErr w:type="spellEnd"/>
      <w:r w:rsidRPr="005F517E">
        <w:rPr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0A57B1">
        <w:rPr>
          <w:sz w:val="24"/>
          <w:szCs w:val="24"/>
          <w:lang w:val="ru-RU"/>
        </w:rPr>
        <w:t>Титовского</w:t>
      </w:r>
      <w:proofErr w:type="spellEnd"/>
      <w:r w:rsidR="000A57B1">
        <w:rPr>
          <w:sz w:val="24"/>
          <w:szCs w:val="24"/>
          <w:lang w:val="ru-RU"/>
        </w:rPr>
        <w:t xml:space="preserve"> сельсовета от 31.08.2022 г. № 15-41</w:t>
      </w:r>
      <w:bookmarkStart w:id="0" w:name="_GoBack"/>
      <w:bookmarkEnd w:id="0"/>
      <w:r w:rsidRPr="005F517E">
        <w:rPr>
          <w:sz w:val="24"/>
          <w:szCs w:val="24"/>
          <w:lang w:val="ru-RU"/>
        </w:rPr>
        <w:t xml:space="preserve">-7 «Об утверждении Правил  благоустройства на территории </w:t>
      </w:r>
      <w:proofErr w:type="spellStart"/>
      <w:r w:rsidR="000A57B1">
        <w:rPr>
          <w:sz w:val="24"/>
          <w:szCs w:val="24"/>
          <w:lang w:val="ru-RU"/>
        </w:rPr>
        <w:t>Титовского</w:t>
      </w:r>
      <w:proofErr w:type="spellEnd"/>
      <w:r w:rsidRPr="005F517E">
        <w:rPr>
          <w:sz w:val="24"/>
          <w:szCs w:val="24"/>
          <w:lang w:val="ru-RU"/>
        </w:rPr>
        <w:t xml:space="preserve">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proofErr w:type="gramStart"/>
      <w:r w:rsidRPr="005F517E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5F517E">
        <w:rPr>
          <w:sz w:val="24"/>
          <w:szCs w:val="24"/>
          <w:lang w:val="ru-RU"/>
        </w:rPr>
        <w:t>деятельности</w:t>
      </w:r>
      <w:proofErr w:type="gramEnd"/>
      <w:r w:rsidRPr="005F517E">
        <w:rPr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75C0A" w:rsidRPr="00260854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60854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60854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42"/>
        <w:gridCol w:w="6520"/>
      </w:tblGrid>
      <w:tr w:rsidR="007A3CAD" w:rsidRPr="000A57B1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60854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60854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6085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0A57B1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C78D6" w:rsidRPr="00260854" w:rsidRDefault="007A3CAD" w:rsidP="00BD7FE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CAD" w:rsidRPr="005F517E" w:rsidRDefault="000C78D6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F517E">
              <w:rPr>
                <w:sz w:val="21"/>
                <w:szCs w:val="21"/>
                <w:lang w:val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0A57B1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60854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Админ</w:t>
            </w:r>
            <w:r w:rsidR="00A17C8F" w:rsidRPr="00260854">
              <w:rPr>
                <w:sz w:val="24"/>
                <w:szCs w:val="24"/>
                <w:lang w:val="ru-RU"/>
              </w:rPr>
              <w:t>ис</w:t>
            </w:r>
            <w:r w:rsidRPr="00260854">
              <w:rPr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0A57B1">
              <w:rPr>
                <w:sz w:val="24"/>
                <w:szCs w:val="24"/>
                <w:lang w:val="ru-RU"/>
              </w:rPr>
              <w:t>Титовского</w:t>
            </w:r>
            <w:proofErr w:type="spellEnd"/>
            <w:r w:rsidR="0012298B" w:rsidRPr="00260854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2298B" w:rsidRPr="00260854">
              <w:rPr>
                <w:sz w:val="24"/>
                <w:szCs w:val="24"/>
                <w:lang w:val="ru-RU"/>
              </w:rPr>
              <w:t>Щигровского</w:t>
            </w:r>
            <w:proofErr w:type="spellEnd"/>
            <w:r w:rsidR="0012298B" w:rsidRPr="00260854">
              <w:rPr>
                <w:sz w:val="24"/>
                <w:szCs w:val="24"/>
                <w:lang w:val="ru-RU"/>
              </w:rPr>
              <w:t xml:space="preserve"> района</w:t>
            </w:r>
            <w:r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0A57B1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60854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60854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60854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0A57B1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60854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6085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60854" w:rsidRDefault="00B31054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2023</w:t>
            </w:r>
            <w:r w:rsidR="00D90AA2" w:rsidRPr="0026085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0A57B1" w:rsidTr="005F517E">
        <w:tc>
          <w:tcPr>
            <w:tcW w:w="2660" w:type="dxa"/>
          </w:tcPr>
          <w:p w:rsidR="00311A26" w:rsidRPr="00260854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Ожидаемые результаты </w:t>
            </w:r>
            <w:r w:rsidRPr="00260854">
              <w:rPr>
                <w:sz w:val="24"/>
                <w:szCs w:val="24"/>
                <w:lang w:val="ru-RU"/>
              </w:rPr>
              <w:lastRenderedPageBreak/>
              <w:t>реализации программы</w:t>
            </w:r>
          </w:p>
        </w:tc>
        <w:tc>
          <w:tcPr>
            <w:tcW w:w="6662" w:type="dxa"/>
            <w:gridSpan w:val="2"/>
          </w:tcPr>
          <w:p w:rsidR="00F442E1" w:rsidRPr="00F442E1" w:rsidRDefault="00F442E1" w:rsidP="00F442E1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F442E1">
              <w:rPr>
                <w:color w:val="282828"/>
              </w:rPr>
              <w:lastRenderedPageBreak/>
              <w:t xml:space="preserve">1. Уменьшение количества нарушений физическими лицами, </w:t>
            </w:r>
            <w:r w:rsidRPr="00F442E1">
              <w:rPr>
                <w:color w:val="282828"/>
              </w:rPr>
              <w:lastRenderedPageBreak/>
              <w:t xml:space="preserve">юридическими лицами, </w:t>
            </w:r>
            <w:r w:rsidR="008D4591">
              <w:rPr>
                <w:color w:val="282828"/>
              </w:rPr>
              <w:t xml:space="preserve">ИП </w:t>
            </w:r>
            <w:r w:rsidRPr="00F442E1">
              <w:rPr>
                <w:color w:val="282828"/>
              </w:rPr>
              <w:t>обязательных требований законодательства по муниципальному контролю в сфере благоустройства на 2023 год.</w:t>
            </w:r>
          </w:p>
          <w:p w:rsidR="003F26E9" w:rsidRDefault="00311A26" w:rsidP="00196BC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  <w:p w:rsidR="00F442E1" w:rsidRPr="00F442E1" w:rsidRDefault="00F442E1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F442E1">
              <w:rPr>
                <w:color w:val="282828"/>
                <w:sz w:val="24"/>
                <w:szCs w:val="24"/>
                <w:lang w:val="ru-RU"/>
              </w:rPr>
              <w:t>3. Повышение прозрачности системы контрольной деятельности</w:t>
            </w:r>
          </w:p>
        </w:tc>
      </w:tr>
    </w:tbl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lastRenderedPageBreak/>
        <w:t>1. Анализ текущего состояния осуществления муниципального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proofErr w:type="spellStart"/>
      <w:r w:rsidR="000A57B1">
        <w:rPr>
          <w:sz w:val="24"/>
          <w:szCs w:val="24"/>
          <w:lang w:val="ru-RU"/>
        </w:rPr>
        <w:t>Титовский</w:t>
      </w:r>
      <w:proofErr w:type="spellEnd"/>
      <w:r w:rsidR="00BE364C" w:rsidRPr="00260854">
        <w:rPr>
          <w:sz w:val="24"/>
          <w:szCs w:val="24"/>
          <w:lang w:val="ru-RU"/>
        </w:rPr>
        <w:t xml:space="preserve">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</w:t>
      </w:r>
      <w:proofErr w:type="gramStart"/>
      <w:r w:rsidR="005314B2" w:rsidRPr="00260854">
        <w:t>контроля за</w:t>
      </w:r>
      <w:proofErr w:type="gramEnd"/>
      <w:r w:rsidR="005314B2" w:rsidRPr="00260854">
        <w:t xml:space="preserve"> соблюдением Правил благоустройства на территории </w:t>
      </w:r>
      <w:proofErr w:type="spellStart"/>
      <w:r w:rsidR="000A57B1">
        <w:t>Титовского</w:t>
      </w:r>
      <w:proofErr w:type="spellEnd"/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0A57B1">
        <w:t>Титовского</w:t>
      </w:r>
      <w:proofErr w:type="spellEnd"/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6085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proofErr w:type="spellStart"/>
      <w:r w:rsidR="000A57B1">
        <w:t>Титовского</w:t>
      </w:r>
      <w:proofErr w:type="spellEnd"/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2. Характеристика проблем, на решение которых направлена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программа профилактики</w:t>
      </w:r>
    </w:p>
    <w:p w:rsidR="0012737D" w:rsidRPr="00260854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 xml:space="preserve">2.1.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</w:t>
      </w:r>
      <w:proofErr w:type="spellStart"/>
      <w:r w:rsidR="00BE364C" w:rsidRPr="00260854">
        <w:rPr>
          <w:sz w:val="24"/>
          <w:szCs w:val="24"/>
          <w:lang w:val="ru-RU"/>
        </w:rPr>
        <w:t>жизни</w:t>
      </w:r>
      <w:proofErr w:type="gramStart"/>
      <w:r w:rsidR="003E06A7" w:rsidRPr="00260854">
        <w:rPr>
          <w:sz w:val="24"/>
          <w:szCs w:val="24"/>
          <w:lang w:val="ru-RU"/>
        </w:rPr>
        <w:t>,с</w:t>
      </w:r>
      <w:proofErr w:type="gramEnd"/>
      <w:r w:rsidR="003E06A7" w:rsidRPr="00260854">
        <w:rPr>
          <w:sz w:val="24"/>
          <w:szCs w:val="24"/>
          <w:lang w:val="ru-RU"/>
        </w:rPr>
        <w:t>оздание</w:t>
      </w:r>
      <w:proofErr w:type="spellEnd"/>
      <w:r w:rsidR="003E06A7" w:rsidRPr="00260854">
        <w:rPr>
          <w:sz w:val="24"/>
          <w:szCs w:val="24"/>
          <w:lang w:val="ru-RU"/>
        </w:rPr>
        <w:t xml:space="preserve">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3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lastRenderedPageBreak/>
        <w:t xml:space="preserve">3.1.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 xml:space="preserve">3.2.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4. Перечень профилактических мероприятий,</w:t>
      </w: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60854">
        <w:rPr>
          <w:sz w:val="24"/>
          <w:szCs w:val="24"/>
          <w:lang w:val="ru-RU" w:eastAsia="ru-RU"/>
        </w:rPr>
        <w:t xml:space="preserve"> </w:t>
      </w:r>
      <w:proofErr w:type="spellStart"/>
      <w:r w:rsidR="000A57B1">
        <w:rPr>
          <w:sz w:val="24"/>
          <w:szCs w:val="24"/>
          <w:lang w:val="ru-RU" w:eastAsia="ru-RU"/>
        </w:rPr>
        <w:t>Титовского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0A57B1">
        <w:rPr>
          <w:sz w:val="24"/>
          <w:szCs w:val="24"/>
          <w:lang w:val="ru-RU" w:eastAsia="ru-RU"/>
        </w:rPr>
        <w:t>Титовского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5. Источники финансирования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60854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</w:p>
    <w:p w:rsidR="004F14A2" w:rsidRPr="00260854" w:rsidRDefault="005D25D6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6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4F14A2" w:rsidRPr="00260854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60854" w:rsidRDefault="004146E9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 xml:space="preserve">Исполнение показателя на </w:t>
            </w:r>
            <w:r w:rsidRPr="00260854">
              <w:rPr>
                <w:color w:val="282828"/>
                <w:sz w:val="21"/>
                <w:szCs w:val="21"/>
              </w:rPr>
              <w:lastRenderedPageBreak/>
              <w:t>2023 год, 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lastRenderedPageBreak/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</w:tbl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3.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260854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60854" w:rsidRDefault="005D25D6" w:rsidP="002735C1">
      <w:pPr>
        <w:jc w:val="center"/>
        <w:rPr>
          <w:b/>
          <w:sz w:val="30"/>
          <w:szCs w:val="30"/>
          <w:lang w:val="ru-RU"/>
        </w:rPr>
      </w:pPr>
      <w:r w:rsidRPr="00260854">
        <w:rPr>
          <w:rFonts w:eastAsia="Calibri"/>
          <w:b/>
          <w:sz w:val="30"/>
          <w:szCs w:val="30"/>
          <w:lang w:val="ru-RU"/>
        </w:rPr>
        <w:t>7</w:t>
      </w:r>
      <w:r w:rsidR="002735C1" w:rsidRPr="00260854">
        <w:rPr>
          <w:rFonts w:eastAsia="Calibri"/>
          <w:b/>
          <w:sz w:val="30"/>
          <w:szCs w:val="30"/>
          <w:lang w:val="ru-RU"/>
        </w:rPr>
        <w:t>. Оценка эффективности Программы</w:t>
      </w:r>
    </w:p>
    <w:p w:rsidR="002735C1" w:rsidRPr="00260854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60854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60854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0A57B1">
        <w:rPr>
          <w:sz w:val="24"/>
          <w:szCs w:val="24"/>
          <w:lang w:val="ru-RU"/>
        </w:rPr>
        <w:t>Титовский</w:t>
      </w:r>
      <w:proofErr w:type="spellEnd"/>
      <w:r w:rsidRPr="00260854">
        <w:rPr>
          <w:sz w:val="24"/>
          <w:szCs w:val="24"/>
          <w:lang w:val="ru-RU"/>
        </w:rPr>
        <w:t xml:space="preserve"> сельсовет».</w:t>
      </w:r>
      <w:proofErr w:type="gramEnd"/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</w:t>
      </w:r>
      <w:proofErr w:type="gramStart"/>
      <w:r w:rsidRPr="00260854">
        <w:rPr>
          <w:sz w:val="24"/>
          <w:szCs w:val="24"/>
          <w:lang w:val="ru-RU"/>
        </w:rPr>
        <w:t xml:space="preserve"> = </w:t>
      </w:r>
      <w:proofErr w:type="spellStart"/>
      <w:r w:rsidRPr="00260854">
        <w:rPr>
          <w:sz w:val="24"/>
          <w:szCs w:val="24"/>
          <w:lang w:val="ru-RU"/>
        </w:rPr>
        <w:t>К</w:t>
      </w:r>
      <w:proofErr w:type="gramEnd"/>
      <w:r w:rsidRPr="00260854">
        <w:rPr>
          <w:sz w:val="24"/>
          <w:szCs w:val="24"/>
          <w:lang w:val="ru-RU"/>
        </w:rPr>
        <w:t>н</w:t>
      </w:r>
      <w:proofErr w:type="spellEnd"/>
      <w:r w:rsidRPr="00260854">
        <w:rPr>
          <w:sz w:val="24"/>
          <w:szCs w:val="24"/>
          <w:lang w:val="ru-RU"/>
        </w:rPr>
        <w:t>/Кс*100, где: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60854">
        <w:rPr>
          <w:sz w:val="24"/>
          <w:szCs w:val="24"/>
          <w:lang w:val="ru-RU"/>
        </w:rPr>
        <w:t>Кн</w:t>
      </w:r>
      <w:proofErr w:type="spellEnd"/>
      <w:r w:rsidRPr="00260854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lastRenderedPageBreak/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В случае</w:t>
      </w:r>
      <w:proofErr w:type="gramStart"/>
      <w:r w:rsidRPr="00260854">
        <w:rPr>
          <w:sz w:val="24"/>
          <w:szCs w:val="24"/>
          <w:lang w:val="ru-RU"/>
        </w:rPr>
        <w:t>,</w:t>
      </w:r>
      <w:proofErr w:type="gramEnd"/>
      <w:r w:rsidRPr="00260854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8. Ресурсное обеспечение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0A57B1">
        <w:rPr>
          <w:color w:val="000000"/>
          <w:sz w:val="24"/>
          <w:szCs w:val="24"/>
          <w:lang w:val="ru-RU" w:eastAsia="ru-RU"/>
        </w:rPr>
        <w:t>Титовского</w:t>
      </w:r>
      <w:proofErr w:type="spellEnd"/>
      <w:r w:rsidRPr="0026085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60854">
        <w:rPr>
          <w:color w:val="000000"/>
          <w:sz w:val="24"/>
          <w:szCs w:val="24"/>
          <w:lang w:val="ru-RU" w:eastAsia="ru-RU"/>
        </w:rPr>
        <w:t>сельсоветав</w:t>
      </w:r>
      <w:proofErr w:type="spellEnd"/>
      <w:r w:rsidRPr="00260854">
        <w:rPr>
          <w:color w:val="000000"/>
          <w:sz w:val="24"/>
          <w:szCs w:val="24"/>
          <w:lang w:val="ru-RU" w:eastAsia="ru-RU"/>
        </w:rPr>
        <w:t xml:space="preserve"> информационно-телекоммуникационной сети Интернет.</w:t>
      </w:r>
    </w:p>
    <w:p w:rsidR="002735C1" w:rsidRPr="00260854" w:rsidRDefault="002735C1" w:rsidP="002735C1">
      <w:pPr>
        <w:rPr>
          <w:sz w:val="24"/>
          <w:szCs w:val="24"/>
          <w:lang w:val="ru-RU"/>
        </w:rPr>
      </w:pPr>
    </w:p>
    <w:p w:rsidR="00260854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p w:rsidR="004146E9" w:rsidRPr="00260854" w:rsidRDefault="00260854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</w:t>
      </w:r>
      <w:r w:rsidR="004146E9" w:rsidRPr="00260854">
        <w:rPr>
          <w:sz w:val="24"/>
          <w:szCs w:val="24"/>
          <w:lang w:val="ru-RU"/>
        </w:rPr>
        <w:t xml:space="preserve"> Приложение</w:t>
      </w:r>
      <w:r w:rsidR="007D27FD" w:rsidRPr="00260854">
        <w:rPr>
          <w:sz w:val="24"/>
          <w:szCs w:val="24"/>
          <w:lang w:val="ru-RU"/>
        </w:rPr>
        <w:t xml:space="preserve"> к П</w:t>
      </w:r>
      <w:r w:rsidR="005D25D6" w:rsidRPr="00260854">
        <w:rPr>
          <w:sz w:val="24"/>
          <w:szCs w:val="24"/>
          <w:lang w:val="ru-RU"/>
        </w:rPr>
        <w:t>рограм</w:t>
      </w:r>
      <w:r w:rsidR="004146E9" w:rsidRPr="00260854">
        <w:rPr>
          <w:sz w:val="24"/>
          <w:szCs w:val="24"/>
          <w:lang w:val="ru-RU"/>
        </w:rPr>
        <w:t>м</w:t>
      </w:r>
      <w:r w:rsidR="004146E9" w:rsidRPr="00260854">
        <w:rPr>
          <w:b/>
          <w:sz w:val="24"/>
          <w:szCs w:val="24"/>
          <w:lang w:val="ru-RU"/>
        </w:rPr>
        <w:t>е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 xml:space="preserve">Перечень профилактических мероприятий, 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>сроки (периодичность) их проведения</w:t>
      </w: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Срок</w:t>
            </w:r>
            <w:r w:rsidRPr="00260854">
              <w:rPr>
                <w:sz w:val="24"/>
                <w:szCs w:val="24"/>
              </w:rPr>
              <w:t xml:space="preserve"> (</w:t>
            </w:r>
            <w:r w:rsidRPr="00260854">
              <w:rPr>
                <w:sz w:val="24"/>
                <w:szCs w:val="24"/>
                <w:lang w:val="ru-RU"/>
              </w:rPr>
              <w:t>периодичность</w:t>
            </w:r>
            <w:r w:rsidRPr="00260854">
              <w:rPr>
                <w:sz w:val="24"/>
                <w:szCs w:val="24"/>
              </w:rPr>
              <w:t xml:space="preserve">) </w:t>
            </w:r>
            <w:r w:rsidRPr="00260854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75703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1.1.</w:t>
            </w: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0A57B1">
              <w:rPr>
                <w:sz w:val="24"/>
                <w:szCs w:val="24"/>
                <w:lang w:val="ru-RU"/>
              </w:rPr>
              <w:t>Титовского</w:t>
            </w:r>
            <w:proofErr w:type="spellEnd"/>
            <w:r w:rsidRPr="00260854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</w:t>
            </w:r>
            <w:r w:rsidRPr="00260854">
              <w:rPr>
                <w:sz w:val="24"/>
                <w:szCs w:val="24"/>
                <w:lang w:val="ru-RU"/>
              </w:rPr>
              <w:lastRenderedPageBreak/>
              <w:t>законом ценностям</w:t>
            </w: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C0996" w:rsidRPr="00260854" w:rsidRDefault="000D39AB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д)</w:t>
            </w:r>
            <w:r w:rsidRPr="00260854">
              <w:rPr>
                <w:color w:val="282828"/>
                <w:sz w:val="21"/>
                <w:szCs w:val="21"/>
                <w:lang w:val="ru-RU"/>
              </w:rPr>
              <w:t xml:space="preserve">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0C0996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</w:p>
          <w:p w:rsidR="004146E9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color w:val="282828"/>
                <w:sz w:val="21"/>
                <w:szCs w:val="21"/>
                <w:lang w:val="ru-RU"/>
              </w:rPr>
              <w:t>е) сведений о способах получения консультаций по вопросам соблюдения обязательных требований;</w:t>
            </w:r>
            <w:r w:rsidR="000D39AB" w:rsidRPr="00260854">
              <w:rPr>
                <w:sz w:val="24"/>
                <w:szCs w:val="24"/>
                <w:lang w:val="ru-RU"/>
              </w:rPr>
              <w:t xml:space="preserve"> 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  <w:p w:rsidR="004146E9" w:rsidRPr="00260854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25 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декабря предшествующего года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C0996" w:rsidRPr="00260854" w:rsidRDefault="000C0996" w:rsidP="000C0996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44952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644952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01.01.2023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60854" w:rsidRDefault="00757034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Зам. Главы Администрации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75703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260854" w:rsidTr="00031B2D">
        <w:trPr>
          <w:trHeight w:val="2829"/>
        </w:trPr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260854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hyperlink r:id="rId9" w:history="1">
              <w:r w:rsidR="00260854" w:rsidRPr="00260854">
                <w:rPr>
                  <w:sz w:val="20"/>
                  <w:szCs w:val="20"/>
                  <w:u w:val="single"/>
                  <w:lang w:val="ru-RU" w:eastAsia="ru-RU"/>
                </w:rPr>
                <w:t>законом</w:t>
              </w:r>
            </w:hyperlink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proofErr w:type="gramEnd"/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60854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sectPr w:rsidR="00D441D1" w:rsidRP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9C" w:rsidRPr="002069D3" w:rsidRDefault="0018609C" w:rsidP="002069D3">
      <w:r>
        <w:separator/>
      </w:r>
    </w:p>
  </w:endnote>
  <w:endnote w:type="continuationSeparator" w:id="0">
    <w:p w:rsidR="0018609C" w:rsidRPr="002069D3" w:rsidRDefault="0018609C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9C" w:rsidRPr="002069D3" w:rsidRDefault="0018609C" w:rsidP="002069D3">
      <w:r>
        <w:separator/>
      </w:r>
    </w:p>
  </w:footnote>
  <w:footnote w:type="continuationSeparator" w:id="0">
    <w:p w:rsidR="0018609C" w:rsidRPr="002069D3" w:rsidRDefault="0018609C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A57B1"/>
    <w:rsid w:val="000C0996"/>
    <w:rsid w:val="000C4BF6"/>
    <w:rsid w:val="000C6C95"/>
    <w:rsid w:val="000C78D6"/>
    <w:rsid w:val="000D25D1"/>
    <w:rsid w:val="000D39AB"/>
    <w:rsid w:val="000E7B7E"/>
    <w:rsid w:val="001003D8"/>
    <w:rsid w:val="0012298B"/>
    <w:rsid w:val="0012737D"/>
    <w:rsid w:val="00127683"/>
    <w:rsid w:val="001773ED"/>
    <w:rsid w:val="00177B86"/>
    <w:rsid w:val="00181F86"/>
    <w:rsid w:val="001843DB"/>
    <w:rsid w:val="00185F2E"/>
    <w:rsid w:val="0018609C"/>
    <w:rsid w:val="001871BE"/>
    <w:rsid w:val="0019038D"/>
    <w:rsid w:val="00192BC7"/>
    <w:rsid w:val="00196BC2"/>
    <w:rsid w:val="001A025D"/>
    <w:rsid w:val="001C2F17"/>
    <w:rsid w:val="001D3A66"/>
    <w:rsid w:val="0020332B"/>
    <w:rsid w:val="002069D3"/>
    <w:rsid w:val="00224FBC"/>
    <w:rsid w:val="00260854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126D"/>
    <w:rsid w:val="003E06A7"/>
    <w:rsid w:val="003F26E9"/>
    <w:rsid w:val="003F56BB"/>
    <w:rsid w:val="00407B45"/>
    <w:rsid w:val="004146E9"/>
    <w:rsid w:val="00414CA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1008"/>
    <w:rsid w:val="00577DB1"/>
    <w:rsid w:val="005B5BC1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6987"/>
    <w:rsid w:val="006943F0"/>
    <w:rsid w:val="006A3B5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A3CAD"/>
    <w:rsid w:val="007A4FE3"/>
    <w:rsid w:val="007C7664"/>
    <w:rsid w:val="007D27FD"/>
    <w:rsid w:val="007E6F12"/>
    <w:rsid w:val="00825391"/>
    <w:rsid w:val="00842E96"/>
    <w:rsid w:val="00872C54"/>
    <w:rsid w:val="008A010D"/>
    <w:rsid w:val="008B3DC7"/>
    <w:rsid w:val="008B43DB"/>
    <w:rsid w:val="008B59E6"/>
    <w:rsid w:val="008C5C1D"/>
    <w:rsid w:val="008D4591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BA9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06C7"/>
    <w:rsid w:val="00E13033"/>
    <w:rsid w:val="00E47903"/>
    <w:rsid w:val="00E55600"/>
    <w:rsid w:val="00E61D3C"/>
    <w:rsid w:val="00E7547C"/>
    <w:rsid w:val="00ED7E31"/>
    <w:rsid w:val="00EE2464"/>
    <w:rsid w:val="00EE401D"/>
    <w:rsid w:val="00F26318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25</cp:revision>
  <cp:lastPrinted>2021-11-15T06:56:00Z</cp:lastPrinted>
  <dcterms:created xsi:type="dcterms:W3CDTF">2021-11-09T13:50:00Z</dcterms:created>
  <dcterms:modified xsi:type="dcterms:W3CDTF">2022-09-28T13:02:00Z</dcterms:modified>
</cp:coreProperties>
</file>