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01" w:rsidRDefault="00C03C01" w:rsidP="00C03C0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«09» июля 2014 г. № 19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Генерального плана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Титовский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СОБРАНИЕ ДЕПУТАТОВ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ТИТОВСКОГО СЕЛЬСОВЕТА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ЩИГРОВСКОГО РАЙОНА КУРСКОЙ ОБЛАСТИ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</w:rPr>
        <w:t>Р</w:t>
      </w:r>
      <w:proofErr w:type="gramEnd"/>
      <w:r>
        <w:rPr>
          <w:rStyle w:val="af5"/>
          <w:rFonts w:ascii="Tahoma" w:hAnsi="Tahoma" w:cs="Tahoma"/>
          <w:color w:val="000000"/>
        </w:rPr>
        <w:t xml:space="preserve"> Е Ш Е Н И Е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 «09» июля 2014 г. № 19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Об утверждении Генерального плана муниципального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Курской области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учитывая протоколы публичных слушаний и заключение о результатах публичных слушаний по проекту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области, сводным заключением Администрации Курской</w:t>
      </w:r>
      <w:proofErr w:type="gramEnd"/>
      <w:r>
        <w:rPr>
          <w:rFonts w:ascii="Tahoma" w:hAnsi="Tahoma" w:cs="Tahoma"/>
          <w:color w:val="000000"/>
        </w:rPr>
        <w:t xml:space="preserve"> области на проект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(от 24.06.2014г. № 01-08/467) Собрание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РЕШИЛО: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Утвердить прилагаемый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области, включающий в себя графические и текстовые материалы.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Обеспечить опубликование в установленном порядке настоящее решение и положение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области, а также графические материалы.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3. </w:t>
      </w:r>
      <w:proofErr w:type="gramStart"/>
      <w:r>
        <w:rPr>
          <w:rFonts w:ascii="Tahoma" w:hAnsi="Tahoma" w:cs="Tahoma"/>
          <w:color w:val="000000"/>
        </w:rPr>
        <w:t>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в течение семи дней со дня официального опубликования в установленном порядке направить Генеральный план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в ИСОГД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Щигровский</w:t>
      </w:r>
      <w:proofErr w:type="spellEnd"/>
      <w:r>
        <w:rPr>
          <w:rFonts w:ascii="Tahoma" w:hAnsi="Tahoma" w:cs="Tahoma"/>
          <w:color w:val="000000"/>
        </w:rPr>
        <w:t xml:space="preserve"> район» Курской области и в двухнедельный срок – в комитет строительства и архитектуры Курской области для осуществления контроля за соблюдением законодательства о градостроительной деятельности.</w:t>
      </w:r>
      <w:proofErr w:type="gramEnd"/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в течение 10 дней со дня утверждения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обеспечить доступ к генеральному плану и материалам по его обоснованию в федеральной государственной информационной системе территориального планирования.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5. Решение вступает в силу с момента подписания и подлежит опубликованию.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6. </w:t>
      </w:r>
      <w:proofErr w:type="gramStart"/>
      <w:r>
        <w:rPr>
          <w:rFonts w:ascii="Tahoma" w:hAnsi="Tahoma" w:cs="Tahoma"/>
          <w:color w:val="000000"/>
        </w:rPr>
        <w:t>Контроль за</w:t>
      </w:r>
      <w:proofErr w:type="gramEnd"/>
      <w:r>
        <w:rPr>
          <w:rFonts w:ascii="Tahoma" w:hAnsi="Tahoma" w:cs="Tahoma"/>
          <w:color w:val="000000"/>
        </w:rPr>
        <w:t xml:space="preserve"> исполнением настоящего решения оставляю за собой.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</w:rPr>
        <w:t>Исполняющий</w:t>
      </w:r>
      <w:proofErr w:type="gramEnd"/>
      <w:r>
        <w:rPr>
          <w:rFonts w:ascii="Tahoma" w:hAnsi="Tahoma" w:cs="Tahoma"/>
          <w:color w:val="000000"/>
        </w:rPr>
        <w:t xml:space="preserve"> обязанности Главы</w:t>
      </w:r>
    </w:p>
    <w:p w:rsidR="00C03C01" w:rsidRDefault="00C03C01" w:rsidP="00C03C0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                            М.А. Аржаных</w:t>
      </w:r>
    </w:p>
    <w:p w:rsidR="0048419E" w:rsidRPr="00C03C01" w:rsidRDefault="0048419E" w:rsidP="00C03C01">
      <w:pPr>
        <w:rPr>
          <w:szCs w:val="28"/>
        </w:rPr>
      </w:pPr>
    </w:p>
    <w:sectPr w:rsidR="0048419E" w:rsidRPr="00C03C01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4A" w:rsidRDefault="007B5D4A" w:rsidP="00193FB4">
      <w:r>
        <w:separator/>
      </w:r>
    </w:p>
  </w:endnote>
  <w:endnote w:type="continuationSeparator" w:id="0">
    <w:p w:rsidR="007B5D4A" w:rsidRDefault="007B5D4A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4A" w:rsidRDefault="007B5D4A" w:rsidP="00193FB4">
      <w:r>
        <w:separator/>
      </w:r>
    </w:p>
  </w:footnote>
  <w:footnote w:type="continuationSeparator" w:id="0">
    <w:p w:rsidR="007B5D4A" w:rsidRDefault="007B5D4A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A772123"/>
    <w:multiLevelType w:val="multilevel"/>
    <w:tmpl w:val="C340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7F74"/>
    <w:multiLevelType w:val="multilevel"/>
    <w:tmpl w:val="B4AE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9666D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30B07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4F08B8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B5D4A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8E5A19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91992"/>
    <w:rsid w:val="00BD6B89"/>
    <w:rsid w:val="00BF024D"/>
    <w:rsid w:val="00BF111A"/>
    <w:rsid w:val="00BF4812"/>
    <w:rsid w:val="00C03C01"/>
    <w:rsid w:val="00C46D72"/>
    <w:rsid w:val="00C7050C"/>
    <w:rsid w:val="00C71381"/>
    <w:rsid w:val="00C742FF"/>
    <w:rsid w:val="00C74DC4"/>
    <w:rsid w:val="00CB1739"/>
    <w:rsid w:val="00CF494E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6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65EC5-CC02-421C-A25E-48610F01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61</cp:revision>
  <cp:lastPrinted>2018-07-26T11:54:00Z</cp:lastPrinted>
  <dcterms:created xsi:type="dcterms:W3CDTF">2016-02-16T05:39:00Z</dcterms:created>
  <dcterms:modified xsi:type="dcterms:W3CDTF">2025-04-11T09:03:00Z</dcterms:modified>
</cp:coreProperties>
</file>